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4C2CA">
      <w:pPr>
        <w:spacing w:line="360" w:lineRule="auto"/>
      </w:pPr>
    </w:p>
    <w:p w14:paraId="4F2EF59F">
      <w:pPr>
        <w:spacing w:line="360" w:lineRule="auto"/>
      </w:pPr>
    </w:p>
    <w:p w14:paraId="002D47D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226" w:lineRule="auto"/>
        <w:ind w:left="235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lang w:eastAsia="zh-CN"/>
        </w:rPr>
        <w:t>贵州大学大数据与信息工程学院</w:t>
      </w:r>
    </w:p>
    <w:p w14:paraId="1E65E1A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226" w:lineRule="auto"/>
        <w:ind w:left="235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lang w:eastAsia="zh-CN"/>
        </w:rPr>
        <w:t>硕士研究</w:t>
      </w:r>
      <w:r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  <w:lang w:eastAsia="zh-CN"/>
        </w:rPr>
        <w:t>生指导教师招生资格审核办法</w:t>
      </w:r>
    </w:p>
    <w:p w14:paraId="1472730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79" w:lineRule="auto"/>
        <w:textAlignment w:val="baseline"/>
        <w:rPr>
          <w:lang w:eastAsia="zh-CN"/>
        </w:rPr>
      </w:pPr>
    </w:p>
    <w:p w14:paraId="06C47BC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70" w:lineRule="auto"/>
        <w:ind w:left="33" w:firstLine="575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为了更好地贯彻《中华人民共和国学位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法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》及相关文件精神，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确保攻读硕士学位研究生（以下简称硕士生）的培养质量，根据《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eastAsia="zh-CN"/>
        </w:rPr>
        <w:t>关于开展2025年度硕士研究生导师资格审核工作的通知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  <w:highlight w:val="none"/>
          <w:lang w:eastAsia="zh-CN"/>
        </w:rPr>
        <w:t>》（贵大研〔202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  <w:highlight w:val="none"/>
          <w:lang w:eastAsia="zh-CN"/>
        </w:rPr>
        <w:t>〕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highlight w:val="none"/>
          <w:lang w:eastAsia="zh-CN"/>
        </w:rPr>
        <w:t>1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-42"/>
          <w:sz w:val="32"/>
          <w:szCs w:val="32"/>
          <w:highlight w:val="non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highlight w:val="none"/>
          <w:lang w:eastAsia="zh-CN"/>
        </w:rPr>
        <w:t>号）文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件精神，结合大数据与信息工程学院实际，制定本办法。</w:t>
      </w:r>
    </w:p>
    <w:p w14:paraId="79A295C2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6" w:line="370" w:lineRule="auto"/>
        <w:ind w:left="611"/>
        <w:jc w:val="both"/>
        <w:textAlignment w:val="baseline"/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审核硕士生导师的学科专业范围</w:t>
      </w:r>
    </w:p>
    <w:p w14:paraId="441BA5B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70" w:lineRule="auto"/>
        <w:ind w:left="33" w:firstLine="575"/>
        <w:jc w:val="both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审核硕士生导师学科专业范围为大数据与信息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工程学院具有硕士学位授予权的学科专业。</w:t>
      </w:r>
    </w:p>
    <w:p w14:paraId="431B667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70" w:lineRule="auto"/>
        <w:ind w:left="33" w:firstLine="575"/>
        <w:jc w:val="both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"/>
          <w:sz w:val="32"/>
          <w:szCs w:val="32"/>
          <w:lang w:eastAsia="zh-CN"/>
        </w:rPr>
        <w:t>第二条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 xml:space="preserve"> 审核硕士生导师的时间</w:t>
      </w:r>
    </w:p>
    <w:p w14:paraId="2B8564E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70" w:lineRule="auto"/>
        <w:ind w:left="33" w:firstLine="575"/>
        <w:jc w:val="both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硕士生导师的审核原则上每年进行二次。</w:t>
      </w:r>
    </w:p>
    <w:p w14:paraId="2858DDD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8" w:line="370" w:lineRule="auto"/>
        <w:ind w:left="611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第三条</w:t>
      </w:r>
      <w:r>
        <w:rPr>
          <w:rFonts w:hint="eastAsia" w:ascii="仿宋_GB2312" w:hAnsi="仿宋_GB2312" w:eastAsia="仿宋_GB2312" w:cs="仿宋_GB2312"/>
          <w:spacing w:val="47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审核硕士生导师的基本原则</w:t>
      </w:r>
    </w:p>
    <w:p w14:paraId="4C1F1EB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7" w:line="370" w:lineRule="auto"/>
        <w:ind w:left="38" w:right="92" w:firstLine="572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1、硕士生导师要有利于大数据与信息工程学院学科建设发展和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结构调整，有利于培养经济建设、科技进步和社会发展所需要的高层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次人才；</w:t>
      </w:r>
    </w:p>
    <w:p w14:paraId="1D9E421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70" w:lineRule="auto"/>
        <w:ind w:left="595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2、审核硕士生导师要坚持标准，严格要求，保证质量；</w:t>
      </w:r>
    </w:p>
    <w:p w14:paraId="57BE8BD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8" w:line="370" w:lineRule="auto"/>
        <w:ind w:left="611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第四条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 xml:space="preserve"> 硕士生导师应具备的基本条件</w:t>
      </w:r>
    </w:p>
    <w:p w14:paraId="49F9070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7" w:line="370" w:lineRule="auto"/>
        <w:ind w:left="40" w:right="92" w:firstLine="570"/>
        <w:jc w:val="both"/>
        <w:textAlignment w:val="baseline"/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1、坚持四项基本原则，拥护中国共产党的领导，热爱研究生教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育事业，熟悉国家关于研究生教育的有关政策法规，教书育人，为人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师表，具有高尚的科学道德、严谨的治学态度；</w:t>
      </w:r>
    </w:p>
    <w:p w14:paraId="3212B72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70" w:lineRule="auto"/>
        <w:ind w:left="40" w:right="91" w:firstLine="573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"/>
          <w:position w:val="20"/>
          <w:sz w:val="32"/>
          <w:szCs w:val="32"/>
          <w:lang w:eastAsia="zh-CN"/>
        </w:rPr>
        <w:t>2、具有副高级及以上专业技术职称（包括一流学科特岗人才、享受校聘副教授待遇不超过 3 年【含】的教师）及以上职称。</w:t>
      </w:r>
    </w:p>
    <w:p w14:paraId="6324823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70" w:lineRule="auto"/>
        <w:ind w:left="34" w:right="34" w:firstLine="561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3、能认真履行导师职责，具有硕士学位的副高职称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人员需具有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协助指导一届研究生的经历。本校教师在校内工作时间年均不少于 8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个月，兼职导师在贵州大学工作时间年均累计不少于 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个月；具有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博士学位的校聘副教授通过硕士生招生资格审核当年可进行招生。新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通过资格审核的硕士研究生导师，首次招生仅可招收专业型硕士。</w:t>
      </w:r>
    </w:p>
    <w:p w14:paraId="098A7E3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7" w:line="370" w:lineRule="auto"/>
        <w:ind w:left="29" w:right="34" w:firstLine="55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4、新参加研究生招生资格审核的导师，当年年龄原则上不超过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57 周岁（新增硕士点的首批硕士生导师不超过 60 周岁</w:t>
      </w:r>
      <w:r>
        <w:rPr>
          <w:rFonts w:hint="eastAsia" w:ascii="仿宋_GB2312" w:hAnsi="仿宋_GB2312" w:eastAsia="仿宋_GB2312" w:cs="仿宋_GB2312"/>
          <w:spacing w:val="-77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计算截止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  <w:lang w:eastAsia="zh-CN"/>
        </w:rPr>
        <w:t>时间为当年的</w:t>
      </w:r>
      <w:r>
        <w:rPr>
          <w:rFonts w:hint="eastAsia" w:ascii="仿宋_GB2312" w:hAnsi="仿宋_GB2312" w:eastAsia="仿宋_GB2312" w:cs="仿宋_GB2312"/>
          <w:spacing w:val="-33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  <w:lang w:eastAsia="zh-CN"/>
        </w:rPr>
        <w:t>12月31日。</w:t>
      </w:r>
    </w:p>
    <w:p w14:paraId="594FC5F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5" w:line="370" w:lineRule="auto"/>
        <w:ind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5、至少熟练掌握一门外国语，能较好地进行国际学术交流；</w:t>
      </w:r>
    </w:p>
    <w:p w14:paraId="51A2B91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9" w:line="370" w:lineRule="auto"/>
        <w:ind w:left="32" w:right="33" w:firstLine="559"/>
        <w:jc w:val="both"/>
        <w:textAlignment w:val="baseline"/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6、主持承担有科研项目，有较充足的科研经费。近三年本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人可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eastAsia="zh-CN"/>
        </w:rPr>
        <w:t>支配经费，校内新聘导师年均 2.0 万元以上，校外新聘导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eastAsia="zh-CN"/>
        </w:rPr>
        <w:t>师年均 5.0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万元以上；</w:t>
      </w:r>
    </w:p>
    <w:p w14:paraId="5EAE46B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9" w:line="370" w:lineRule="auto"/>
        <w:ind w:left="32" w:right="33" w:firstLine="55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7、有一定的学术造诣和较丰富的科研工作经验，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基本掌握本学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科前沿领域的发展趋势，有一定的学术水平。近三年取得的与申请学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科专业相关的研究成果达到下列条件之一：</w:t>
      </w:r>
    </w:p>
    <w:p w14:paraId="68CB370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8" w:line="370" w:lineRule="auto"/>
        <w:ind w:left="32" w:right="34" w:firstLine="607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(1)以第一作者或通讯作者发表</w:t>
      </w:r>
      <w:r>
        <w:rPr>
          <w:rFonts w:hint="eastAsia" w:ascii="仿宋_GB2312" w:hAnsi="仿宋_GB2312" w:eastAsia="仿宋_GB2312" w:cs="仿宋_GB2312"/>
          <w:spacing w:val="-51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SCI</w:t>
      </w:r>
      <w:r>
        <w:rPr>
          <w:rFonts w:hint="eastAsia" w:ascii="仿宋_GB2312" w:hAnsi="仿宋_GB2312" w:eastAsia="仿宋_GB2312" w:cs="仿宋_GB2312"/>
          <w:spacing w:val="-49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论文</w:t>
      </w:r>
      <w:r>
        <w:rPr>
          <w:rFonts w:hint="eastAsia" w:ascii="仿宋_GB2312" w:hAnsi="仿宋_GB2312" w:eastAsia="仿宋_GB2312" w:cs="仿宋_GB2312"/>
          <w:spacing w:val="-38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spacing w:val="-43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篇和中文核心期刊论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文 1</w:t>
      </w:r>
      <w:r>
        <w:rPr>
          <w:rFonts w:hint="eastAsia" w:ascii="仿宋_GB2312" w:hAnsi="仿宋_GB2312" w:eastAsia="仿宋_GB2312" w:cs="仿宋_GB2312"/>
          <w:spacing w:val="-39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篇，或</w:t>
      </w:r>
      <w:r>
        <w:rPr>
          <w:rFonts w:hint="eastAsia" w:ascii="仿宋_GB2312" w:hAnsi="仿宋_GB2312" w:eastAsia="仿宋_GB2312" w:cs="仿宋_GB2312"/>
          <w:spacing w:val="-64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EI</w:t>
      </w:r>
      <w:r>
        <w:rPr>
          <w:rFonts w:hint="eastAsia" w:ascii="仿宋_GB2312" w:hAnsi="仿宋_GB2312" w:eastAsia="仿宋_GB2312" w:cs="仿宋_GB2312"/>
          <w:spacing w:val="-46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源刊论文（含本领域顶级会议论文）1</w:t>
      </w:r>
      <w:r>
        <w:rPr>
          <w:rFonts w:hint="eastAsia" w:ascii="仿宋_GB2312" w:hAnsi="仿宋_GB2312" w:eastAsia="仿宋_GB2312" w:cs="仿宋_GB2312"/>
          <w:spacing w:val="-4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篇和中文核心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期刊论文</w:t>
      </w:r>
      <w:r>
        <w:rPr>
          <w:rFonts w:hint="eastAsia" w:ascii="仿宋_GB2312" w:hAnsi="仿宋_GB2312" w:eastAsia="仿宋_GB2312" w:cs="仿宋_GB2312"/>
          <w:spacing w:val="-47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spacing w:val="-45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篇，或中文核心期刊</w:t>
      </w:r>
      <w:r>
        <w:rPr>
          <w:rFonts w:hint="eastAsia" w:ascii="仿宋_GB2312" w:hAnsi="仿宋_GB2312" w:eastAsia="仿宋_GB2312" w:cs="仿宋_GB2312"/>
          <w:spacing w:val="-6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spacing w:val="-43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篇；</w:t>
      </w:r>
    </w:p>
    <w:p w14:paraId="5F96C59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6" w:line="370" w:lineRule="auto"/>
        <w:ind w:right="33"/>
        <w:jc w:val="both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2"/>
          <w:position w:val="26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(2)出版学术著作至少 1 部（合著者，本人撰写部分不少于 15万字或总量的 1/3），同时以第一作者发表核心期刊论文至少 2 篇，或同时以第一作者发表一级期刊（或SCI、EI、SSCI 收录）论文至少 1 篇；</w:t>
      </w:r>
    </w:p>
    <w:p w14:paraId="3DDDC6B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7" w:line="370" w:lineRule="auto"/>
        <w:ind w:left="40" w:right="91" w:firstLine="59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(3)获科研成果奖（地厅级及以上）至少 1 项，同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时以第一作者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发表核心期刊论文至少 2 篇，或同时以第一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作者发表一级期刊（或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SCI、EI、SSCI收录）论文至少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spacing w:val="27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篇；</w:t>
      </w:r>
    </w:p>
    <w:p w14:paraId="2EB6B4F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7" w:line="370" w:lineRule="auto"/>
        <w:ind w:left="32" w:firstLine="607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(4)在科技成果推广方面做出贡献，取得较好的社会、经济效益（须报专题材料，兼职导师不适用此条</w:t>
      </w:r>
      <w:r>
        <w:rPr>
          <w:rFonts w:hint="eastAsia" w:ascii="仿宋_GB2312" w:hAnsi="仿宋_GB2312" w:eastAsia="仿宋_GB2312" w:cs="仿宋_GB2312"/>
          <w:spacing w:val="-43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同时以第一作者发表核心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eastAsia="zh-CN"/>
        </w:rPr>
        <w:t>期刊论文至少 2 篇，或同时以第一作者发表一级期刊（或 SCI、</w:t>
      </w:r>
      <w:r>
        <w:rPr>
          <w:rFonts w:hint="eastAsia" w:ascii="仿宋_GB2312" w:hAnsi="仿宋_GB2312" w:eastAsia="仿宋_GB2312" w:cs="仿宋_GB2312"/>
          <w:spacing w:val="-55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eastAsia="zh-CN"/>
        </w:rPr>
        <w:t>EI、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SSCI收录）论文至少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1 篇；</w:t>
      </w:r>
    </w:p>
    <w:p w14:paraId="09519E4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7" w:line="370" w:lineRule="auto"/>
        <w:ind w:left="37" w:right="93" w:firstLine="602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(5)获得至少 1 件发明专利授权（排名前三位</w:t>
      </w:r>
      <w:r>
        <w:rPr>
          <w:rFonts w:hint="eastAsia" w:ascii="仿宋_GB2312" w:hAnsi="仿宋_GB2312" w:eastAsia="仿宋_GB2312" w:cs="仿宋_GB2312"/>
          <w:spacing w:val="-37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同时以第一作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eastAsia="zh-CN"/>
        </w:rPr>
        <w:t>者发表核心期刊论文至少 2 篇，或同时以第一作者发表一级期刊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eastAsia="zh-CN"/>
        </w:rPr>
        <w:t>（或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SCI、EI、SS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CI收录）论文至少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spacing w:val="27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篇；</w:t>
      </w:r>
    </w:p>
    <w:p w14:paraId="0191C32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8" w:line="370" w:lineRule="auto"/>
        <w:ind w:left="34" w:right="93" w:firstLine="556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8、两院院士、国家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专家、长江学者、国家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-107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百千万人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才工程</w:t>
      </w:r>
      <w:r>
        <w:rPr>
          <w:rFonts w:hint="eastAsia" w:ascii="仿宋_GB2312" w:hAnsi="仿宋_GB2312" w:eastAsia="仿宋_GB2312" w:cs="仿宋_GB2312"/>
          <w:spacing w:val="-103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”一、二层次人选、国家杰出青年科学基金获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得者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、教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育部新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世纪优秀人才、省管专家、省优秀青年科技人才可直接聘为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硕士生导师，且不受年龄限制。</w:t>
      </w:r>
    </w:p>
    <w:p w14:paraId="0E6D5BA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7" w:line="370" w:lineRule="auto"/>
        <w:ind w:left="38" w:right="92" w:firstLine="572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新引进教师首聘硕导的，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近三年内以第一作者或通讯作者发表 SCI二区论文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篇及以上者，可直接聘为硕士研究生导师。</w:t>
      </w:r>
    </w:p>
    <w:p w14:paraId="093BF74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7" w:line="370" w:lineRule="auto"/>
        <w:ind w:left="38" w:right="92" w:firstLine="572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10、特殊情况者，须经学院学位评定分委员会审议,报校学位评定委员会备案。</w:t>
      </w:r>
    </w:p>
    <w:p w14:paraId="57E91A4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5" w:line="370" w:lineRule="auto"/>
        <w:ind w:left="611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第五条</w:t>
      </w:r>
      <w:r>
        <w:rPr>
          <w:rFonts w:hint="eastAsia" w:ascii="仿宋_GB2312" w:hAnsi="仿宋_GB2312" w:eastAsia="仿宋_GB2312" w:cs="仿宋_GB2312"/>
          <w:spacing w:val="51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审核硕士生导师的程序</w:t>
      </w:r>
    </w:p>
    <w:p w14:paraId="590F16A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7" w:line="370" w:lineRule="auto"/>
        <w:ind w:left="38" w:right="92" w:firstLine="572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1、审核硕士生导师按以下程序进行：</w:t>
      </w:r>
    </w:p>
    <w:p w14:paraId="0CBE3A3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7" w:line="370" w:lineRule="auto"/>
        <w:ind w:left="38" w:right="92" w:firstLine="572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(1)申请人向大数据与信息工程学院研究生科提出申请，填报审核表并附相关材料，学院组织专家对申请人进行资格审查。</w:t>
      </w:r>
    </w:p>
    <w:p w14:paraId="3355B02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7" w:line="370" w:lineRule="auto"/>
        <w:ind w:left="38" w:right="92" w:firstLine="572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(2)学位评定分委员会审核。学院学位评定分委员会召开会议审议申请人材料，并投票表决。赞成票超过到会委员人数三分之二视为通过。经公示后报校学位评定委员会办公室（研究生院）备案并公布。</w:t>
      </w:r>
    </w:p>
    <w:p w14:paraId="663B7CA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7" w:line="370" w:lineRule="auto"/>
        <w:ind w:left="38" w:right="92" w:firstLine="572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D36151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7" w:line="370" w:lineRule="auto"/>
        <w:ind w:left="38" w:right="92" w:firstLine="572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27A477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7" w:line="370" w:lineRule="auto"/>
        <w:ind w:left="38" w:right="92" w:firstLine="572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6A8373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7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position w:val="26"/>
          <w:sz w:val="32"/>
          <w:szCs w:val="32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position w:val="26"/>
          <w:sz w:val="32"/>
          <w:szCs w:val="32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第六条 审核硕士生导师的回避和监督</w:t>
      </w:r>
    </w:p>
    <w:p w14:paraId="38D389A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8" w:line="370" w:lineRule="auto"/>
        <w:ind w:left="31" w:right="101" w:firstLine="57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1、凡硕士生导师申请人以及有亲属申请硕士生导师的人员，一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律不参与涉及本人或其亲属的评议工作。申请人为校学位评定委员会委员或分委员会委员者，则不参加相关的评议或审定会议。学位评定委员会及分委员会应到委员数计算方法为：总委员数减去回避的委员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eastAsia="zh-CN"/>
        </w:rPr>
        <w:t>数。</w:t>
      </w:r>
    </w:p>
    <w:p w14:paraId="476B66B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7" w:line="370" w:lineRule="auto"/>
        <w:ind w:left="38" w:right="92" w:firstLine="572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2、评审中个人或集体提出的申诉和异议，由学院学位评定分委会仲裁，不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者报校学位办仲裁。</w:t>
      </w:r>
    </w:p>
    <w:p w14:paraId="20C7688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line="37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position w:val="26"/>
          <w:sz w:val="32"/>
          <w:szCs w:val="32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第七条</w:t>
      </w:r>
      <w:r>
        <w:rPr>
          <w:rFonts w:hint="eastAsia" w:ascii="仿宋_GB2312" w:hAnsi="仿宋_GB2312" w:eastAsia="仿宋_GB2312" w:cs="仿宋_GB2312"/>
          <w:position w:val="26"/>
          <w:sz w:val="32"/>
          <w:szCs w:val="32"/>
          <w:lang w:eastAsia="zh-CN"/>
        </w:rPr>
        <w:t xml:space="preserve"> 本办法由大数据与信息工程学院学位评定分委会负责解释，本办法自颁布之日起执行。</w:t>
      </w:r>
    </w:p>
    <w:p w14:paraId="52C7C73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7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9A28A4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7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141E9C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7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3F8E90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8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E1823F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2" w:line="624" w:lineRule="exact"/>
        <w:jc w:val="righ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"/>
          <w:position w:val="26"/>
          <w:sz w:val="32"/>
          <w:szCs w:val="32"/>
          <w:lang w:eastAsia="zh-CN"/>
        </w:rPr>
        <w:t>大数据与信息工程学院学位评定分委</w:t>
      </w:r>
      <w:r>
        <w:rPr>
          <w:rFonts w:hint="eastAsia" w:ascii="仿宋_GB2312" w:hAnsi="仿宋_GB2312" w:eastAsia="仿宋_GB2312" w:cs="仿宋_GB2312"/>
          <w:spacing w:val="-2"/>
          <w:position w:val="26"/>
          <w:sz w:val="32"/>
          <w:szCs w:val="32"/>
          <w:lang w:val="en-US" w:eastAsia="zh-CN"/>
        </w:rPr>
        <w:t>会</w:t>
      </w:r>
    </w:p>
    <w:p w14:paraId="2109AE9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22" w:lineRule="auto"/>
        <w:ind w:left="4652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5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pacing w:val="-4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5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 xml:space="preserve">4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日</w:t>
      </w:r>
    </w:p>
    <w:sectPr>
      <w:pgSz w:w="11906" w:h="16839"/>
      <w:pgMar w:top="1431" w:right="1698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626AED6-8C90-4A67-AF0D-15F85923FFD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AD4DA405-5EC8-4075-8628-2978A61E7FF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98944127-DE1B-4D7E-97CB-215312AEF29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6C475B4-0A3B-4C6A-A44E-C0D25D32C73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9B32E1"/>
    <w:multiLevelType w:val="singleLevel"/>
    <w:tmpl w:val="E09B32E1"/>
    <w:lvl w:ilvl="0" w:tentative="0">
      <w:start w:val="1"/>
      <w:numFmt w:val="chineseCounting"/>
      <w:suff w:val="space"/>
      <w:lvlText w:val="第%1条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3Yjk1YmUxOTI0OWIzODc4NTQxYTJkM2JiNjI0NjcifQ=="/>
  </w:docVars>
  <w:rsids>
    <w:rsidRoot w:val="009A2143"/>
    <w:rsid w:val="00243B84"/>
    <w:rsid w:val="006473BC"/>
    <w:rsid w:val="00882565"/>
    <w:rsid w:val="009A2143"/>
    <w:rsid w:val="00B8215C"/>
    <w:rsid w:val="00DB635A"/>
    <w:rsid w:val="00DD2BCF"/>
    <w:rsid w:val="00E7165B"/>
    <w:rsid w:val="0A0D3065"/>
    <w:rsid w:val="14A142F6"/>
    <w:rsid w:val="14D74AB7"/>
    <w:rsid w:val="16227A29"/>
    <w:rsid w:val="168529DC"/>
    <w:rsid w:val="16D02B28"/>
    <w:rsid w:val="1E061A8D"/>
    <w:rsid w:val="26D42FC1"/>
    <w:rsid w:val="28926C90"/>
    <w:rsid w:val="28A939EF"/>
    <w:rsid w:val="2E222864"/>
    <w:rsid w:val="3B6E533A"/>
    <w:rsid w:val="3E0B08DA"/>
    <w:rsid w:val="43F97D03"/>
    <w:rsid w:val="549632FF"/>
    <w:rsid w:val="5BEA5EBF"/>
    <w:rsid w:val="600E019B"/>
    <w:rsid w:val="727A5D97"/>
    <w:rsid w:val="72AB41A6"/>
    <w:rsid w:val="76C27D0D"/>
    <w:rsid w:val="78E3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Revision"/>
    <w:hidden/>
    <w:semiHidden/>
    <w:qFormat/>
    <w:uiPriority w:val="99"/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1860</Words>
  <Characters>1925</Characters>
  <Lines>15</Lines>
  <Paragraphs>4</Paragraphs>
  <TotalTime>6</TotalTime>
  <ScaleCrop>false</ScaleCrop>
  <LinksUpToDate>false</LinksUpToDate>
  <CharactersWithSpaces>1999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2024-04-27T05:08:00Z</dcterms:created>
  <dc:creator>王天一</dc:creator>
  <cp:lastModifiedBy>陈勇</cp:lastModifiedBy>
  <dcterms:modified xsi:type="dcterms:W3CDTF">2025-06-04T02:35:49Z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2024-04-18T15:57:04Z</vt:filetime>
  </property>
  <property fmtid="{D5CDD505-2E9C-101B-9397-08002B2CF9AE}" pid="4" name="KSOProductBuildVer">
    <vt:lpwstr>2052-12.1.0.21171</vt:lpwstr>
  </property>
  <property fmtid="{D5CDD505-2E9C-101B-9397-08002B2CF9AE}" pid="5" name="ICV">
    <vt:lpwstr>237FD397D14441D2B9C0CFD0393BE894_13</vt:lpwstr>
  </property>
  <property fmtid="{D5CDD505-2E9C-101B-9397-08002B2CF9AE}" pid="6" name="KSOTemplateDocerSaveRecord">
    <vt:lpwstr>eyJoZGlkIjoiM2IyMGVjM2YyYTM2ZjdiNWExN2QyMzAxMzgxZmY5ODMiLCJ1c2VySWQiOiI0MjkyMjcxMTUifQ==</vt:lpwstr>
  </property>
</Properties>
</file>